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341" w:rsidRDefault="003732A9" w:rsidP="003732A9">
      <w:pPr>
        <w:pStyle w:val="Default"/>
        <w:jc w:val="center"/>
        <w:rPr>
          <w:b/>
          <w:sz w:val="44"/>
          <w:szCs w:val="44"/>
        </w:rPr>
      </w:pPr>
      <w:bookmarkStart w:id="0" w:name="_GoBack"/>
      <w:bookmarkEnd w:id="0"/>
      <w:r w:rsidRPr="003732A9">
        <w:rPr>
          <w:b/>
          <w:sz w:val="44"/>
          <w:szCs w:val="44"/>
        </w:rPr>
        <w:t>PHY 13</w:t>
      </w:r>
      <w:r w:rsidR="008932C9">
        <w:rPr>
          <w:b/>
          <w:sz w:val="44"/>
          <w:szCs w:val="44"/>
        </w:rPr>
        <w:t>1</w:t>
      </w:r>
      <w:r w:rsidR="002D0EB1">
        <w:rPr>
          <w:b/>
          <w:sz w:val="44"/>
          <w:szCs w:val="44"/>
        </w:rPr>
        <w:t xml:space="preserve"> (</w:t>
      </w:r>
      <w:proofErr w:type="spellStart"/>
      <w:r w:rsidR="002D0EB1">
        <w:rPr>
          <w:b/>
          <w:sz w:val="44"/>
          <w:szCs w:val="44"/>
        </w:rPr>
        <w:t>Hemmick</w:t>
      </w:r>
      <w:proofErr w:type="spellEnd"/>
      <w:r w:rsidR="002D0EB1">
        <w:rPr>
          <w:b/>
          <w:sz w:val="44"/>
          <w:szCs w:val="44"/>
        </w:rPr>
        <w:t>)</w:t>
      </w:r>
      <w:r w:rsidRPr="003732A9">
        <w:rPr>
          <w:b/>
          <w:sz w:val="44"/>
          <w:szCs w:val="44"/>
        </w:rPr>
        <w:t xml:space="preserve"> – </w:t>
      </w:r>
      <w:r w:rsidR="006C1341">
        <w:rPr>
          <w:b/>
          <w:sz w:val="44"/>
          <w:szCs w:val="44"/>
        </w:rPr>
        <w:t>syllabus</w:t>
      </w:r>
    </w:p>
    <w:p w:rsidR="003732A9" w:rsidRDefault="006C1341" w:rsidP="003732A9">
      <w:pPr>
        <w:pStyle w:val="Default"/>
        <w:jc w:val="center"/>
        <w:rPr>
          <w:b/>
          <w:sz w:val="44"/>
          <w:szCs w:val="44"/>
        </w:rPr>
      </w:pPr>
      <w:r>
        <w:rPr>
          <w:b/>
          <w:sz w:val="44"/>
          <w:szCs w:val="44"/>
        </w:rPr>
        <w:t xml:space="preserve"> (</w:t>
      </w:r>
      <w:proofErr w:type="gramStart"/>
      <w:r>
        <w:rPr>
          <w:b/>
          <w:sz w:val="44"/>
          <w:szCs w:val="44"/>
        </w:rPr>
        <w:t>in-person</w:t>
      </w:r>
      <w:proofErr w:type="gramEnd"/>
      <w:r>
        <w:rPr>
          <w:b/>
          <w:sz w:val="44"/>
          <w:szCs w:val="44"/>
        </w:rPr>
        <w:t xml:space="preserve"> and on-line)</w:t>
      </w:r>
    </w:p>
    <w:p w:rsidR="003732A9" w:rsidRPr="003732A9" w:rsidRDefault="003732A9" w:rsidP="003732A9">
      <w:pPr>
        <w:pStyle w:val="Default"/>
        <w:jc w:val="center"/>
        <w:rPr>
          <w:b/>
          <w:sz w:val="44"/>
          <w:szCs w:val="44"/>
        </w:rPr>
      </w:pPr>
    </w:p>
    <w:p w:rsidR="003732A9" w:rsidRDefault="003732A9" w:rsidP="003732A9">
      <w:pPr>
        <w:pStyle w:val="Default"/>
        <w:rPr>
          <w:sz w:val="22"/>
          <w:szCs w:val="22"/>
        </w:rPr>
      </w:pPr>
      <w:r>
        <w:t xml:space="preserve"> </w:t>
      </w:r>
      <w:r>
        <w:rPr>
          <w:b/>
          <w:bCs/>
          <w:sz w:val="22"/>
          <w:szCs w:val="22"/>
        </w:rPr>
        <w:t xml:space="preserve">NOTE: </w:t>
      </w:r>
      <w:r>
        <w:rPr>
          <w:sz w:val="22"/>
          <w:szCs w:val="22"/>
        </w:rPr>
        <w:t>Information in this syllabus should be considered as “preliminary”. All students are responsible for changes announced in lecture and via class Email</w:t>
      </w:r>
      <w:r w:rsidR="002D0EB1">
        <w:rPr>
          <w:sz w:val="22"/>
          <w:szCs w:val="22"/>
        </w:rPr>
        <w:t>/blackboard</w:t>
      </w:r>
      <w:r>
        <w:rPr>
          <w:sz w:val="22"/>
          <w:szCs w:val="22"/>
        </w:rPr>
        <w:t xml:space="preserve">. </w:t>
      </w:r>
    </w:p>
    <w:p w:rsidR="002D0EB1" w:rsidRDefault="002D0EB1" w:rsidP="003732A9">
      <w:pPr>
        <w:pStyle w:val="Default"/>
        <w:rPr>
          <w:rFonts w:ascii="Cambria" w:hAnsi="Cambria" w:cs="Cambria"/>
          <w:b/>
          <w:bCs/>
          <w:sz w:val="28"/>
          <w:szCs w:val="28"/>
        </w:rPr>
      </w:pPr>
    </w:p>
    <w:p w:rsidR="003732A9" w:rsidRDefault="003732A9" w:rsidP="003732A9">
      <w:pPr>
        <w:pStyle w:val="Default"/>
        <w:rPr>
          <w:rFonts w:ascii="Cambria" w:hAnsi="Cambria" w:cs="Cambria"/>
          <w:sz w:val="28"/>
          <w:szCs w:val="28"/>
        </w:rPr>
      </w:pPr>
      <w:r>
        <w:rPr>
          <w:rFonts w:ascii="Cambria" w:hAnsi="Cambria" w:cs="Cambria"/>
          <w:b/>
          <w:bCs/>
          <w:sz w:val="28"/>
          <w:szCs w:val="28"/>
        </w:rPr>
        <w:t xml:space="preserve">Course Organization </w:t>
      </w:r>
    </w:p>
    <w:p w:rsidR="003732A9" w:rsidRDefault="003732A9" w:rsidP="003732A9">
      <w:pPr>
        <w:pStyle w:val="Default"/>
        <w:rPr>
          <w:sz w:val="22"/>
          <w:szCs w:val="22"/>
        </w:rPr>
      </w:pPr>
      <w:r>
        <w:rPr>
          <w:sz w:val="22"/>
          <w:szCs w:val="22"/>
        </w:rPr>
        <w:t xml:space="preserve">The course is comprised of two main divisions: Lecture and Recitation. Lectures are meetings of the entire “in-person” class. Recitations are meetings with faculty in groups of ~35 students or less. Both portions are required and make contributions toward the final class grade. There is additionally an online version of the class. Online students receive lecture and recitation via recordings of the live class(es). Laboratory is an entirely separate class. </w:t>
      </w:r>
    </w:p>
    <w:p w:rsidR="002D0EB1" w:rsidRDefault="002D0EB1" w:rsidP="003732A9">
      <w:pPr>
        <w:pStyle w:val="Default"/>
        <w:rPr>
          <w:rFonts w:ascii="Cambria" w:hAnsi="Cambria" w:cs="Cambria"/>
          <w:b/>
          <w:bCs/>
          <w:sz w:val="26"/>
          <w:szCs w:val="26"/>
        </w:rPr>
      </w:pPr>
    </w:p>
    <w:p w:rsidR="003732A9" w:rsidRDefault="003732A9" w:rsidP="003732A9">
      <w:pPr>
        <w:pStyle w:val="Default"/>
        <w:rPr>
          <w:rFonts w:ascii="Cambria" w:hAnsi="Cambria" w:cs="Cambria"/>
          <w:sz w:val="26"/>
          <w:szCs w:val="26"/>
        </w:rPr>
      </w:pPr>
      <w:r>
        <w:rPr>
          <w:rFonts w:ascii="Cambria" w:hAnsi="Cambria" w:cs="Cambria"/>
          <w:b/>
          <w:bCs/>
          <w:sz w:val="26"/>
          <w:szCs w:val="26"/>
        </w:rPr>
        <w:t xml:space="preserve">Lecture </w:t>
      </w:r>
    </w:p>
    <w:p w:rsidR="003732A9" w:rsidRDefault="003732A9" w:rsidP="003732A9">
      <w:pPr>
        <w:pStyle w:val="Default"/>
        <w:rPr>
          <w:sz w:val="22"/>
          <w:szCs w:val="22"/>
        </w:rPr>
      </w:pPr>
      <w:r>
        <w:rPr>
          <w:sz w:val="22"/>
          <w:szCs w:val="22"/>
        </w:rPr>
        <w:t xml:space="preserve">Attendance is required and enforced by “clicking in”. Online students receive a special “punctuated echo” recording that replaces the “clicker” questions with browser-based responses. </w:t>
      </w:r>
    </w:p>
    <w:p w:rsidR="002D0EB1" w:rsidRDefault="002D0EB1" w:rsidP="003732A9">
      <w:pPr>
        <w:pStyle w:val="Default"/>
        <w:rPr>
          <w:rFonts w:ascii="Cambria" w:hAnsi="Cambria" w:cs="Cambria"/>
          <w:b/>
          <w:bCs/>
          <w:sz w:val="26"/>
          <w:szCs w:val="26"/>
        </w:rPr>
      </w:pPr>
    </w:p>
    <w:p w:rsidR="003732A9" w:rsidRDefault="003732A9" w:rsidP="003732A9">
      <w:pPr>
        <w:pStyle w:val="Default"/>
        <w:rPr>
          <w:rFonts w:ascii="Cambria" w:hAnsi="Cambria" w:cs="Cambria"/>
          <w:sz w:val="26"/>
          <w:szCs w:val="26"/>
        </w:rPr>
      </w:pPr>
      <w:r>
        <w:rPr>
          <w:rFonts w:ascii="Cambria" w:hAnsi="Cambria" w:cs="Cambria"/>
          <w:b/>
          <w:bCs/>
          <w:sz w:val="26"/>
          <w:szCs w:val="26"/>
        </w:rPr>
        <w:t xml:space="preserve">Recitation </w:t>
      </w:r>
    </w:p>
    <w:p w:rsidR="003732A9" w:rsidRDefault="003732A9" w:rsidP="003732A9">
      <w:pPr>
        <w:pStyle w:val="Default"/>
        <w:rPr>
          <w:sz w:val="22"/>
          <w:szCs w:val="22"/>
        </w:rPr>
      </w:pPr>
      <w:r>
        <w:rPr>
          <w:sz w:val="22"/>
          <w:szCs w:val="22"/>
        </w:rPr>
        <w:t xml:space="preserve">Because the class has so many students, it is difficult for students to receive individual attention during the main lecture. For this reason, the course is additionally divided into </w:t>
      </w:r>
      <w:r w:rsidR="002D0EB1">
        <w:rPr>
          <w:sz w:val="22"/>
          <w:szCs w:val="22"/>
        </w:rPr>
        <w:t>recitation sections</w:t>
      </w:r>
      <w:r>
        <w:rPr>
          <w:sz w:val="22"/>
          <w:szCs w:val="22"/>
        </w:rPr>
        <w:t xml:space="preserve">. Recitation sections are typically focused upon helping students to understand and complete that week's homework assignment. Recitations are taught by faculty members. During a recitation meeting, it is possible that a quiz, additional homework, or some other instrument used to determine the student's recitation grade will be assigned and/or collected. </w:t>
      </w:r>
    </w:p>
    <w:p w:rsidR="002D0EB1" w:rsidRDefault="002D0EB1" w:rsidP="003732A9">
      <w:pPr>
        <w:pStyle w:val="Default"/>
        <w:rPr>
          <w:rFonts w:ascii="Cambria" w:hAnsi="Cambria" w:cs="Cambria"/>
          <w:b/>
          <w:bCs/>
          <w:sz w:val="28"/>
          <w:szCs w:val="28"/>
        </w:rPr>
      </w:pPr>
    </w:p>
    <w:p w:rsidR="003732A9" w:rsidRDefault="003732A9" w:rsidP="003732A9">
      <w:pPr>
        <w:pStyle w:val="Default"/>
        <w:rPr>
          <w:rFonts w:ascii="Cambria" w:hAnsi="Cambria" w:cs="Cambria"/>
          <w:sz w:val="28"/>
          <w:szCs w:val="28"/>
        </w:rPr>
      </w:pPr>
      <w:r>
        <w:rPr>
          <w:rFonts w:ascii="Cambria" w:hAnsi="Cambria" w:cs="Cambria"/>
          <w:b/>
          <w:bCs/>
          <w:sz w:val="28"/>
          <w:szCs w:val="28"/>
        </w:rPr>
        <w:t xml:space="preserve">Required Material </w:t>
      </w:r>
    </w:p>
    <w:p w:rsidR="003732A9" w:rsidRDefault="003732A9" w:rsidP="003732A9">
      <w:pPr>
        <w:pStyle w:val="Default"/>
        <w:spacing w:after="58"/>
        <w:rPr>
          <w:sz w:val="22"/>
          <w:szCs w:val="22"/>
        </w:rPr>
      </w:pPr>
      <w:r>
        <w:rPr>
          <w:sz w:val="22"/>
          <w:szCs w:val="22"/>
        </w:rPr>
        <w:t xml:space="preserve">1. Textbook: Katz available here: http://services.cengagebrain.com/course/site.html?id=1901050. </w:t>
      </w:r>
    </w:p>
    <w:p w:rsidR="003732A9" w:rsidRDefault="003732A9" w:rsidP="003732A9">
      <w:pPr>
        <w:pStyle w:val="Default"/>
        <w:spacing w:after="58"/>
        <w:rPr>
          <w:sz w:val="22"/>
          <w:szCs w:val="22"/>
        </w:rPr>
      </w:pPr>
      <w:r>
        <w:rPr>
          <w:sz w:val="22"/>
          <w:szCs w:val="22"/>
        </w:rPr>
        <w:t xml:space="preserve">2. All Course Information handed out in lecture. </w:t>
      </w:r>
    </w:p>
    <w:p w:rsidR="003732A9" w:rsidRDefault="003732A9" w:rsidP="003732A9">
      <w:pPr>
        <w:pStyle w:val="Default"/>
        <w:rPr>
          <w:sz w:val="22"/>
          <w:szCs w:val="22"/>
        </w:rPr>
      </w:pPr>
      <w:r>
        <w:rPr>
          <w:sz w:val="22"/>
          <w:szCs w:val="22"/>
        </w:rPr>
        <w:t xml:space="preserve">3. A NON-Programmable calculator. </w:t>
      </w:r>
    </w:p>
    <w:p w:rsidR="003732A9" w:rsidRDefault="002D0EB1" w:rsidP="003732A9">
      <w:pPr>
        <w:pStyle w:val="Default"/>
        <w:spacing w:after="58"/>
        <w:rPr>
          <w:sz w:val="22"/>
          <w:szCs w:val="22"/>
        </w:rPr>
      </w:pPr>
      <w:r>
        <w:rPr>
          <w:sz w:val="22"/>
          <w:szCs w:val="22"/>
        </w:rPr>
        <w:t xml:space="preserve">     </w:t>
      </w:r>
      <w:r w:rsidR="003732A9">
        <w:rPr>
          <w:sz w:val="22"/>
          <w:szCs w:val="22"/>
        </w:rPr>
        <w:t xml:space="preserve">a. Exams allow no formula sheets. </w:t>
      </w:r>
    </w:p>
    <w:p w:rsidR="003732A9" w:rsidRDefault="002D0EB1" w:rsidP="003732A9">
      <w:pPr>
        <w:pStyle w:val="Default"/>
        <w:spacing w:after="58"/>
        <w:rPr>
          <w:sz w:val="22"/>
          <w:szCs w:val="22"/>
        </w:rPr>
      </w:pPr>
      <w:r>
        <w:rPr>
          <w:sz w:val="22"/>
          <w:szCs w:val="22"/>
        </w:rPr>
        <w:t xml:space="preserve">     </w:t>
      </w:r>
      <w:r w:rsidR="003732A9">
        <w:rPr>
          <w:sz w:val="22"/>
          <w:szCs w:val="22"/>
        </w:rPr>
        <w:t xml:space="preserve">b. Calculator should have: </w:t>
      </w:r>
    </w:p>
    <w:p w:rsidR="003732A9" w:rsidRDefault="002D0EB1" w:rsidP="003732A9">
      <w:pPr>
        <w:pStyle w:val="Default"/>
        <w:spacing w:after="58"/>
        <w:rPr>
          <w:sz w:val="22"/>
          <w:szCs w:val="22"/>
        </w:rPr>
      </w:pPr>
      <w:r>
        <w:rPr>
          <w:sz w:val="22"/>
          <w:szCs w:val="22"/>
        </w:rPr>
        <w:t xml:space="preserve">     </w:t>
      </w:r>
      <w:r w:rsidR="003732A9">
        <w:rPr>
          <w:sz w:val="22"/>
          <w:szCs w:val="22"/>
        </w:rPr>
        <w:t xml:space="preserve">c. Addition, subtraction, multiplication, division. </w:t>
      </w:r>
    </w:p>
    <w:p w:rsidR="003732A9" w:rsidRDefault="002D0EB1" w:rsidP="003732A9">
      <w:pPr>
        <w:pStyle w:val="Default"/>
        <w:spacing w:after="58"/>
        <w:rPr>
          <w:sz w:val="22"/>
          <w:szCs w:val="22"/>
        </w:rPr>
      </w:pPr>
      <w:r>
        <w:rPr>
          <w:sz w:val="22"/>
          <w:szCs w:val="22"/>
        </w:rPr>
        <w:t xml:space="preserve">     </w:t>
      </w:r>
      <w:r w:rsidR="003732A9">
        <w:rPr>
          <w:sz w:val="22"/>
          <w:szCs w:val="22"/>
        </w:rPr>
        <w:t xml:space="preserve">d. Trig functions. </w:t>
      </w:r>
    </w:p>
    <w:p w:rsidR="003732A9" w:rsidRDefault="002D0EB1" w:rsidP="003732A9">
      <w:pPr>
        <w:pStyle w:val="Default"/>
        <w:spacing w:after="58"/>
        <w:rPr>
          <w:sz w:val="22"/>
          <w:szCs w:val="22"/>
        </w:rPr>
      </w:pPr>
      <w:r>
        <w:rPr>
          <w:sz w:val="22"/>
          <w:szCs w:val="22"/>
        </w:rPr>
        <w:t xml:space="preserve">     </w:t>
      </w:r>
      <w:r w:rsidR="003732A9">
        <w:rPr>
          <w:sz w:val="22"/>
          <w:szCs w:val="22"/>
        </w:rPr>
        <w:t xml:space="preserve">e. Log functions. </w:t>
      </w:r>
    </w:p>
    <w:p w:rsidR="003732A9" w:rsidRDefault="002D0EB1" w:rsidP="003732A9">
      <w:pPr>
        <w:pStyle w:val="Default"/>
        <w:spacing w:after="58"/>
        <w:rPr>
          <w:sz w:val="22"/>
          <w:szCs w:val="22"/>
        </w:rPr>
      </w:pPr>
      <w:r>
        <w:rPr>
          <w:sz w:val="22"/>
          <w:szCs w:val="22"/>
        </w:rPr>
        <w:t xml:space="preserve">  </w:t>
      </w:r>
      <w:r w:rsidR="006C1341">
        <w:rPr>
          <w:sz w:val="22"/>
          <w:szCs w:val="22"/>
        </w:rPr>
        <w:t xml:space="preserve"> </w:t>
      </w:r>
      <w:r>
        <w:rPr>
          <w:sz w:val="22"/>
          <w:szCs w:val="22"/>
        </w:rPr>
        <w:t xml:space="preserve">  </w:t>
      </w:r>
      <w:r w:rsidR="003732A9">
        <w:rPr>
          <w:sz w:val="22"/>
          <w:szCs w:val="22"/>
        </w:rPr>
        <w:t xml:space="preserve">f. Square root. </w:t>
      </w:r>
    </w:p>
    <w:p w:rsidR="003732A9" w:rsidRDefault="002D0EB1" w:rsidP="003732A9">
      <w:pPr>
        <w:pStyle w:val="Default"/>
        <w:spacing w:after="58"/>
        <w:rPr>
          <w:sz w:val="22"/>
          <w:szCs w:val="22"/>
        </w:rPr>
      </w:pPr>
      <w:r>
        <w:rPr>
          <w:sz w:val="22"/>
          <w:szCs w:val="22"/>
        </w:rPr>
        <w:t xml:space="preserve">   </w:t>
      </w:r>
      <w:r w:rsidR="006C1341">
        <w:rPr>
          <w:sz w:val="22"/>
          <w:szCs w:val="22"/>
        </w:rPr>
        <w:t xml:space="preserve"> </w:t>
      </w:r>
      <w:r>
        <w:rPr>
          <w:sz w:val="22"/>
          <w:szCs w:val="22"/>
        </w:rPr>
        <w:t xml:space="preserve"> </w:t>
      </w:r>
      <w:r w:rsidR="003732A9">
        <w:rPr>
          <w:sz w:val="22"/>
          <w:szCs w:val="22"/>
        </w:rPr>
        <w:t xml:space="preserve">g. Calculator must not have ability to store formulas. </w:t>
      </w:r>
    </w:p>
    <w:p w:rsidR="003732A9" w:rsidRDefault="002D0EB1" w:rsidP="003732A9">
      <w:pPr>
        <w:pStyle w:val="Default"/>
        <w:rPr>
          <w:sz w:val="22"/>
          <w:szCs w:val="22"/>
        </w:rPr>
      </w:pPr>
      <w:r>
        <w:rPr>
          <w:sz w:val="22"/>
          <w:szCs w:val="22"/>
        </w:rPr>
        <w:t xml:space="preserve">    </w:t>
      </w:r>
      <w:r w:rsidR="006C1341">
        <w:rPr>
          <w:sz w:val="22"/>
          <w:szCs w:val="22"/>
        </w:rPr>
        <w:t xml:space="preserve"> </w:t>
      </w:r>
      <w:r w:rsidR="003732A9">
        <w:rPr>
          <w:sz w:val="22"/>
          <w:szCs w:val="22"/>
        </w:rPr>
        <w:t xml:space="preserve">h. Practice with your exam calculator even on homework. </w:t>
      </w:r>
    </w:p>
    <w:p w:rsidR="003732A9" w:rsidRDefault="003732A9" w:rsidP="003732A9">
      <w:pPr>
        <w:pStyle w:val="Default"/>
        <w:spacing w:after="61"/>
        <w:rPr>
          <w:sz w:val="22"/>
          <w:szCs w:val="22"/>
        </w:rPr>
      </w:pPr>
      <w:r>
        <w:rPr>
          <w:sz w:val="22"/>
          <w:szCs w:val="22"/>
        </w:rPr>
        <w:t xml:space="preserve">4. An account in the WebAssign system (see below). </w:t>
      </w:r>
    </w:p>
    <w:p w:rsidR="003732A9" w:rsidRDefault="003732A9" w:rsidP="003732A9">
      <w:pPr>
        <w:pStyle w:val="Default"/>
        <w:rPr>
          <w:sz w:val="22"/>
          <w:szCs w:val="22"/>
        </w:rPr>
      </w:pPr>
      <w:r>
        <w:rPr>
          <w:sz w:val="22"/>
          <w:szCs w:val="22"/>
        </w:rPr>
        <w:t xml:space="preserve">5. A clicker from the Turning Point Company </w:t>
      </w:r>
      <w:r w:rsidR="003B74EC">
        <w:rPr>
          <w:sz w:val="22"/>
          <w:szCs w:val="22"/>
        </w:rPr>
        <w:t>(for in-class students only)</w:t>
      </w:r>
    </w:p>
    <w:p w:rsidR="00214DEA" w:rsidRDefault="00214DEA" w:rsidP="003732A9">
      <w:pPr>
        <w:pStyle w:val="Default"/>
        <w:rPr>
          <w:sz w:val="22"/>
          <w:szCs w:val="22"/>
        </w:rPr>
      </w:pPr>
    </w:p>
    <w:p w:rsidR="00A1651B" w:rsidRDefault="00A1651B" w:rsidP="003732A9">
      <w:pPr>
        <w:pStyle w:val="Default"/>
        <w:rPr>
          <w:b/>
          <w:sz w:val="28"/>
          <w:szCs w:val="28"/>
        </w:rPr>
      </w:pPr>
    </w:p>
    <w:p w:rsidR="00A1651B" w:rsidRPr="0021772A" w:rsidRDefault="00214DEA" w:rsidP="00A1651B">
      <w:pPr>
        <w:pStyle w:val="Default"/>
        <w:rPr>
          <w:b/>
          <w:sz w:val="28"/>
          <w:szCs w:val="28"/>
        </w:rPr>
      </w:pPr>
      <w:r w:rsidRPr="00214DEA">
        <w:rPr>
          <w:b/>
          <w:sz w:val="28"/>
          <w:szCs w:val="28"/>
        </w:rPr>
        <w:lastRenderedPageBreak/>
        <w:t>Topics</w:t>
      </w:r>
      <w:r w:rsidR="0021772A">
        <w:rPr>
          <w:b/>
          <w:sz w:val="28"/>
          <w:szCs w:val="28"/>
        </w:rPr>
        <w:t xml:space="preserve">: </w:t>
      </w:r>
      <w:r w:rsidR="0021772A" w:rsidRPr="0021772A">
        <w:rPr>
          <w:rFonts w:ascii="Times New Roman" w:hAnsi="Times New Roman" w:cs="Times New Roman"/>
        </w:rPr>
        <w:t xml:space="preserve"> </w:t>
      </w:r>
      <w:r w:rsidR="0021772A" w:rsidRPr="0021772A">
        <w:rPr>
          <w:rFonts w:ascii="Times New Roman" w:hAnsi="Times New Roman" w:cs="Times New Roman"/>
          <w:sz w:val="23"/>
          <w:szCs w:val="23"/>
        </w:rPr>
        <w:t xml:space="preserve">motion in one and two dimensions, Newton's laws of motion and gravitation, energy, momentum, angular momentum, rigid body motion, </w:t>
      </w:r>
      <w:r w:rsidR="0021772A">
        <w:rPr>
          <w:rFonts w:ascii="Times New Roman" w:hAnsi="Times New Roman" w:cs="Times New Roman"/>
          <w:sz w:val="23"/>
          <w:szCs w:val="23"/>
        </w:rPr>
        <w:t xml:space="preserve">fluids, </w:t>
      </w:r>
      <w:r w:rsidR="0021772A" w:rsidRPr="0021772A">
        <w:rPr>
          <w:rFonts w:ascii="Times New Roman" w:hAnsi="Times New Roman" w:cs="Times New Roman"/>
          <w:sz w:val="23"/>
          <w:szCs w:val="23"/>
        </w:rPr>
        <w:t>wave motion, heat, kin</w:t>
      </w:r>
      <w:r w:rsidR="0021772A">
        <w:rPr>
          <w:rFonts w:ascii="Times New Roman" w:hAnsi="Times New Roman" w:cs="Times New Roman"/>
          <w:sz w:val="23"/>
          <w:szCs w:val="23"/>
        </w:rPr>
        <w:t>etic theory, and thermodynamics</w:t>
      </w:r>
      <w:r w:rsidR="008932C9" w:rsidRPr="008932C9">
        <w:rPr>
          <w:rFonts w:ascii="Cambria" w:hAnsi="Cambria"/>
          <w:sz w:val="22"/>
          <w:szCs w:val="22"/>
          <w:shd w:val="clear" w:color="auto" w:fill="FFFFFF"/>
        </w:rPr>
        <w:t> </w:t>
      </w:r>
    </w:p>
    <w:p w:rsidR="00A1651B" w:rsidRDefault="00A1651B" w:rsidP="00A1651B">
      <w:pPr>
        <w:pStyle w:val="Default"/>
        <w:rPr>
          <w:rFonts w:ascii="Cambria" w:hAnsi="Cambria"/>
          <w:sz w:val="22"/>
          <w:szCs w:val="22"/>
          <w:shd w:val="clear" w:color="auto" w:fill="FFFFFF"/>
        </w:rPr>
      </w:pPr>
    </w:p>
    <w:p w:rsidR="002D0EB1" w:rsidRDefault="002D0EB1" w:rsidP="00A1651B">
      <w:pPr>
        <w:pStyle w:val="Default"/>
        <w:rPr>
          <w:sz w:val="28"/>
          <w:szCs w:val="28"/>
        </w:rPr>
      </w:pPr>
      <w:r>
        <w:rPr>
          <w:rFonts w:ascii="Cambria" w:hAnsi="Cambria" w:cs="Cambria"/>
          <w:b/>
          <w:bCs/>
          <w:sz w:val="28"/>
          <w:szCs w:val="28"/>
        </w:rPr>
        <w:t xml:space="preserve">Grade Determination </w:t>
      </w:r>
    </w:p>
    <w:p w:rsidR="002D0EB1" w:rsidRDefault="002D0EB1" w:rsidP="002D0EB1">
      <w:r>
        <w:t>The grades will be calculated based upon the following percentages:</w:t>
      </w:r>
    </w:p>
    <w:p w:rsidR="002D0EB1" w:rsidRDefault="002D0EB1" w:rsidP="002D0EB1"/>
    <w:tbl>
      <w:tblPr>
        <w:tblStyle w:val="TableGrid"/>
        <w:tblW w:w="9448" w:type="dxa"/>
        <w:tblInd w:w="0" w:type="dxa"/>
        <w:tblLook w:val="04A0" w:firstRow="1" w:lastRow="0" w:firstColumn="1" w:lastColumn="0" w:noHBand="0" w:noVBand="1"/>
      </w:tblPr>
      <w:tblGrid>
        <w:gridCol w:w="1349"/>
        <w:gridCol w:w="1349"/>
        <w:gridCol w:w="1350"/>
        <w:gridCol w:w="1350"/>
        <w:gridCol w:w="1350"/>
        <w:gridCol w:w="1350"/>
        <w:gridCol w:w="1350"/>
      </w:tblGrid>
      <w:tr w:rsidR="002D0EB1" w:rsidTr="002D0EB1">
        <w:trPr>
          <w:trHeight w:val="568"/>
        </w:trPr>
        <w:tc>
          <w:tcPr>
            <w:tcW w:w="1349" w:type="dxa"/>
            <w:tcBorders>
              <w:top w:val="single" w:sz="4" w:space="0" w:color="auto"/>
              <w:left w:val="single" w:sz="4" w:space="0" w:color="auto"/>
              <w:bottom w:val="single" w:sz="4" w:space="0" w:color="auto"/>
              <w:right w:val="single" w:sz="4" w:space="0" w:color="auto"/>
            </w:tcBorders>
          </w:tcPr>
          <w:p w:rsidR="002D0EB1" w:rsidRDefault="002D0EB1">
            <w:pPr>
              <w:jc w:val="center"/>
            </w:pPr>
          </w:p>
        </w:tc>
        <w:tc>
          <w:tcPr>
            <w:tcW w:w="1349" w:type="dxa"/>
            <w:tcBorders>
              <w:top w:val="single" w:sz="4" w:space="0" w:color="auto"/>
              <w:left w:val="single" w:sz="4" w:space="0" w:color="auto"/>
              <w:bottom w:val="single" w:sz="4" w:space="0" w:color="auto"/>
              <w:right w:val="single" w:sz="4" w:space="0" w:color="auto"/>
            </w:tcBorders>
            <w:hideMark/>
          </w:tcPr>
          <w:p w:rsidR="002D0EB1" w:rsidRDefault="002D0EB1">
            <w:pPr>
              <w:jc w:val="center"/>
            </w:pPr>
            <w:r>
              <w:t>Exam -1</w:t>
            </w:r>
          </w:p>
        </w:tc>
        <w:tc>
          <w:tcPr>
            <w:tcW w:w="1350" w:type="dxa"/>
            <w:tcBorders>
              <w:top w:val="single" w:sz="4" w:space="0" w:color="auto"/>
              <w:left w:val="single" w:sz="4" w:space="0" w:color="auto"/>
              <w:bottom w:val="single" w:sz="4" w:space="0" w:color="auto"/>
              <w:right w:val="single" w:sz="4" w:space="0" w:color="auto"/>
            </w:tcBorders>
            <w:hideMark/>
          </w:tcPr>
          <w:p w:rsidR="002D0EB1" w:rsidRDefault="002D0EB1">
            <w:pPr>
              <w:jc w:val="center"/>
            </w:pPr>
            <w:r>
              <w:t>Exam-2</w:t>
            </w:r>
          </w:p>
        </w:tc>
        <w:tc>
          <w:tcPr>
            <w:tcW w:w="1350" w:type="dxa"/>
            <w:tcBorders>
              <w:top w:val="single" w:sz="4" w:space="0" w:color="auto"/>
              <w:left w:val="single" w:sz="4" w:space="0" w:color="auto"/>
              <w:bottom w:val="single" w:sz="4" w:space="0" w:color="auto"/>
              <w:right w:val="single" w:sz="4" w:space="0" w:color="auto"/>
            </w:tcBorders>
            <w:hideMark/>
          </w:tcPr>
          <w:p w:rsidR="002D0EB1" w:rsidRDefault="002D0EB1">
            <w:pPr>
              <w:jc w:val="center"/>
            </w:pPr>
            <w:r>
              <w:t>Exam –Final</w:t>
            </w:r>
          </w:p>
        </w:tc>
        <w:tc>
          <w:tcPr>
            <w:tcW w:w="1350" w:type="dxa"/>
            <w:tcBorders>
              <w:top w:val="single" w:sz="4" w:space="0" w:color="auto"/>
              <w:left w:val="single" w:sz="4" w:space="0" w:color="auto"/>
              <w:bottom w:val="single" w:sz="4" w:space="0" w:color="auto"/>
              <w:right w:val="single" w:sz="4" w:space="0" w:color="auto"/>
            </w:tcBorders>
            <w:hideMark/>
          </w:tcPr>
          <w:p w:rsidR="002D0EB1" w:rsidRDefault="002D0EB1">
            <w:pPr>
              <w:jc w:val="center"/>
            </w:pPr>
            <w:r>
              <w:t>Rec</w:t>
            </w:r>
          </w:p>
        </w:tc>
        <w:tc>
          <w:tcPr>
            <w:tcW w:w="1350" w:type="dxa"/>
            <w:tcBorders>
              <w:top w:val="single" w:sz="4" w:space="0" w:color="auto"/>
              <w:left w:val="single" w:sz="4" w:space="0" w:color="auto"/>
              <w:bottom w:val="single" w:sz="4" w:space="0" w:color="auto"/>
              <w:right w:val="single" w:sz="4" w:space="0" w:color="auto"/>
            </w:tcBorders>
            <w:hideMark/>
          </w:tcPr>
          <w:p w:rsidR="002D0EB1" w:rsidRDefault="002D0EB1">
            <w:pPr>
              <w:jc w:val="center"/>
            </w:pPr>
            <w:r>
              <w:t>Homework</w:t>
            </w:r>
          </w:p>
        </w:tc>
        <w:tc>
          <w:tcPr>
            <w:tcW w:w="1350" w:type="dxa"/>
            <w:tcBorders>
              <w:top w:val="single" w:sz="4" w:space="0" w:color="auto"/>
              <w:left w:val="single" w:sz="4" w:space="0" w:color="auto"/>
              <w:bottom w:val="single" w:sz="4" w:space="0" w:color="auto"/>
              <w:right w:val="single" w:sz="4" w:space="0" w:color="auto"/>
            </w:tcBorders>
            <w:hideMark/>
          </w:tcPr>
          <w:p w:rsidR="002D0EB1" w:rsidRDefault="002D0EB1">
            <w:pPr>
              <w:jc w:val="center"/>
            </w:pPr>
            <w:r>
              <w:t>Attendance</w:t>
            </w:r>
          </w:p>
        </w:tc>
      </w:tr>
      <w:tr w:rsidR="002D0EB1" w:rsidTr="002D0EB1">
        <w:trPr>
          <w:trHeight w:val="537"/>
        </w:trPr>
        <w:tc>
          <w:tcPr>
            <w:tcW w:w="1349" w:type="dxa"/>
            <w:tcBorders>
              <w:top w:val="single" w:sz="4" w:space="0" w:color="auto"/>
              <w:left w:val="single" w:sz="4" w:space="0" w:color="auto"/>
              <w:bottom w:val="single" w:sz="4" w:space="0" w:color="auto"/>
              <w:right w:val="single" w:sz="4" w:space="0" w:color="auto"/>
            </w:tcBorders>
            <w:hideMark/>
          </w:tcPr>
          <w:p w:rsidR="002D0EB1" w:rsidRDefault="002D0EB1">
            <w:pPr>
              <w:jc w:val="center"/>
            </w:pPr>
            <w:r>
              <w:t>Percentage</w:t>
            </w:r>
          </w:p>
        </w:tc>
        <w:tc>
          <w:tcPr>
            <w:tcW w:w="1349" w:type="dxa"/>
            <w:tcBorders>
              <w:top w:val="single" w:sz="4" w:space="0" w:color="auto"/>
              <w:left w:val="single" w:sz="4" w:space="0" w:color="auto"/>
              <w:bottom w:val="single" w:sz="4" w:space="0" w:color="auto"/>
              <w:right w:val="single" w:sz="4" w:space="0" w:color="auto"/>
            </w:tcBorders>
            <w:hideMark/>
          </w:tcPr>
          <w:p w:rsidR="002D0EB1" w:rsidRDefault="002D0EB1">
            <w:pPr>
              <w:jc w:val="center"/>
            </w:pPr>
            <w:r>
              <w:t>15</w:t>
            </w:r>
          </w:p>
        </w:tc>
        <w:tc>
          <w:tcPr>
            <w:tcW w:w="1350" w:type="dxa"/>
            <w:tcBorders>
              <w:top w:val="single" w:sz="4" w:space="0" w:color="auto"/>
              <w:left w:val="single" w:sz="4" w:space="0" w:color="auto"/>
              <w:bottom w:val="single" w:sz="4" w:space="0" w:color="auto"/>
              <w:right w:val="single" w:sz="4" w:space="0" w:color="auto"/>
            </w:tcBorders>
            <w:hideMark/>
          </w:tcPr>
          <w:p w:rsidR="002D0EB1" w:rsidRDefault="002D0EB1">
            <w:pPr>
              <w:jc w:val="center"/>
            </w:pPr>
            <w:r>
              <w:t>15</w:t>
            </w:r>
          </w:p>
        </w:tc>
        <w:tc>
          <w:tcPr>
            <w:tcW w:w="1350" w:type="dxa"/>
            <w:tcBorders>
              <w:top w:val="single" w:sz="4" w:space="0" w:color="auto"/>
              <w:left w:val="single" w:sz="4" w:space="0" w:color="auto"/>
              <w:bottom w:val="single" w:sz="4" w:space="0" w:color="auto"/>
              <w:right w:val="single" w:sz="4" w:space="0" w:color="auto"/>
            </w:tcBorders>
            <w:hideMark/>
          </w:tcPr>
          <w:p w:rsidR="002D0EB1" w:rsidRDefault="002D0EB1">
            <w:pPr>
              <w:jc w:val="center"/>
            </w:pPr>
            <w:r>
              <w:t>30</w:t>
            </w:r>
          </w:p>
        </w:tc>
        <w:tc>
          <w:tcPr>
            <w:tcW w:w="1350" w:type="dxa"/>
            <w:tcBorders>
              <w:top w:val="single" w:sz="4" w:space="0" w:color="auto"/>
              <w:left w:val="single" w:sz="4" w:space="0" w:color="auto"/>
              <w:bottom w:val="single" w:sz="4" w:space="0" w:color="auto"/>
              <w:right w:val="single" w:sz="4" w:space="0" w:color="auto"/>
            </w:tcBorders>
            <w:hideMark/>
          </w:tcPr>
          <w:p w:rsidR="002D0EB1" w:rsidRDefault="002D0EB1">
            <w:pPr>
              <w:jc w:val="center"/>
            </w:pPr>
            <w:r>
              <w:t>10</w:t>
            </w:r>
          </w:p>
        </w:tc>
        <w:tc>
          <w:tcPr>
            <w:tcW w:w="1350" w:type="dxa"/>
            <w:tcBorders>
              <w:top w:val="single" w:sz="4" w:space="0" w:color="auto"/>
              <w:left w:val="single" w:sz="4" w:space="0" w:color="auto"/>
              <w:bottom w:val="single" w:sz="4" w:space="0" w:color="auto"/>
              <w:right w:val="single" w:sz="4" w:space="0" w:color="auto"/>
            </w:tcBorders>
            <w:hideMark/>
          </w:tcPr>
          <w:p w:rsidR="002D0EB1" w:rsidRDefault="002D0EB1">
            <w:pPr>
              <w:jc w:val="center"/>
            </w:pPr>
            <w:r>
              <w:t>15</w:t>
            </w:r>
          </w:p>
        </w:tc>
        <w:tc>
          <w:tcPr>
            <w:tcW w:w="1350" w:type="dxa"/>
            <w:tcBorders>
              <w:top w:val="single" w:sz="4" w:space="0" w:color="auto"/>
              <w:left w:val="single" w:sz="4" w:space="0" w:color="auto"/>
              <w:bottom w:val="single" w:sz="4" w:space="0" w:color="auto"/>
              <w:right w:val="single" w:sz="4" w:space="0" w:color="auto"/>
            </w:tcBorders>
            <w:hideMark/>
          </w:tcPr>
          <w:p w:rsidR="002D0EB1" w:rsidRDefault="002D0EB1">
            <w:pPr>
              <w:jc w:val="center"/>
            </w:pPr>
            <w:r>
              <w:t>15</w:t>
            </w:r>
          </w:p>
        </w:tc>
      </w:tr>
    </w:tbl>
    <w:p w:rsidR="002D0EB1" w:rsidRDefault="002D0EB1" w:rsidP="002D0EB1"/>
    <w:p w:rsidR="00975BC0" w:rsidRDefault="002D0EB1">
      <w:r>
        <w:t>Your final score based upon the weightings listed above will be compared to the following scale to determine the letter grades (</w:t>
      </w:r>
      <w:r w:rsidRPr="002D0EB1">
        <w:rPr>
          <w:i/>
        </w:rPr>
        <w:t>i.e</w:t>
      </w:r>
      <w:r>
        <w:t>. there is not a curve):</w:t>
      </w:r>
    </w:p>
    <w:p w:rsidR="002D0EB1" w:rsidRDefault="002D0EB1"/>
    <w:tbl>
      <w:tblPr>
        <w:tblStyle w:val="TableGrid"/>
        <w:tblW w:w="0" w:type="auto"/>
        <w:tblInd w:w="0" w:type="dxa"/>
        <w:tblLook w:val="04A0" w:firstRow="1" w:lastRow="0" w:firstColumn="1" w:lastColumn="0" w:noHBand="0" w:noVBand="1"/>
      </w:tblPr>
      <w:tblGrid>
        <w:gridCol w:w="1226"/>
        <w:gridCol w:w="880"/>
        <w:gridCol w:w="720"/>
        <w:gridCol w:w="721"/>
        <w:gridCol w:w="721"/>
        <w:gridCol w:w="721"/>
        <w:gridCol w:w="721"/>
        <w:gridCol w:w="721"/>
        <w:gridCol w:w="716"/>
        <w:gridCol w:w="724"/>
        <w:gridCol w:w="710"/>
        <w:gridCol w:w="769"/>
      </w:tblGrid>
      <w:tr w:rsidR="002D0EB1" w:rsidTr="002D0EB1">
        <w:tc>
          <w:tcPr>
            <w:tcW w:w="1075" w:type="dxa"/>
          </w:tcPr>
          <w:p w:rsidR="002D0EB1" w:rsidRDefault="002D0EB1" w:rsidP="002570DC">
            <w:pPr>
              <w:jc w:val="center"/>
            </w:pPr>
          </w:p>
        </w:tc>
        <w:tc>
          <w:tcPr>
            <w:tcW w:w="904" w:type="dxa"/>
          </w:tcPr>
          <w:p w:rsidR="002D0EB1" w:rsidRDefault="002D0EB1" w:rsidP="002570DC">
            <w:pPr>
              <w:jc w:val="center"/>
            </w:pPr>
            <w:r>
              <w:t>A</w:t>
            </w:r>
          </w:p>
        </w:tc>
        <w:tc>
          <w:tcPr>
            <w:tcW w:w="740" w:type="dxa"/>
          </w:tcPr>
          <w:p w:rsidR="002D0EB1" w:rsidRDefault="002D0EB1" w:rsidP="002570DC">
            <w:pPr>
              <w:jc w:val="center"/>
            </w:pPr>
            <w:r>
              <w:t>A-</w:t>
            </w:r>
          </w:p>
        </w:tc>
        <w:tc>
          <w:tcPr>
            <w:tcW w:w="740" w:type="dxa"/>
          </w:tcPr>
          <w:p w:rsidR="002D0EB1" w:rsidRDefault="002D0EB1" w:rsidP="002570DC">
            <w:pPr>
              <w:jc w:val="center"/>
            </w:pPr>
            <w:r>
              <w:t>B+</w:t>
            </w:r>
          </w:p>
        </w:tc>
        <w:tc>
          <w:tcPr>
            <w:tcW w:w="740" w:type="dxa"/>
          </w:tcPr>
          <w:p w:rsidR="002D0EB1" w:rsidRDefault="002D0EB1" w:rsidP="002570DC">
            <w:pPr>
              <w:jc w:val="center"/>
            </w:pPr>
            <w:r>
              <w:t>B</w:t>
            </w:r>
          </w:p>
        </w:tc>
        <w:tc>
          <w:tcPr>
            <w:tcW w:w="740" w:type="dxa"/>
          </w:tcPr>
          <w:p w:rsidR="002D0EB1" w:rsidRDefault="002D0EB1" w:rsidP="002570DC">
            <w:pPr>
              <w:jc w:val="center"/>
            </w:pPr>
            <w:r>
              <w:t>B-</w:t>
            </w:r>
          </w:p>
        </w:tc>
        <w:tc>
          <w:tcPr>
            <w:tcW w:w="740" w:type="dxa"/>
          </w:tcPr>
          <w:p w:rsidR="002D0EB1" w:rsidRDefault="002D0EB1" w:rsidP="002570DC">
            <w:pPr>
              <w:jc w:val="center"/>
            </w:pPr>
            <w:r>
              <w:t>C+</w:t>
            </w:r>
          </w:p>
        </w:tc>
        <w:tc>
          <w:tcPr>
            <w:tcW w:w="740" w:type="dxa"/>
          </w:tcPr>
          <w:p w:rsidR="002D0EB1" w:rsidRDefault="002D0EB1" w:rsidP="002570DC">
            <w:pPr>
              <w:jc w:val="center"/>
            </w:pPr>
            <w:r>
              <w:t>C</w:t>
            </w:r>
          </w:p>
        </w:tc>
        <w:tc>
          <w:tcPr>
            <w:tcW w:w="735" w:type="dxa"/>
          </w:tcPr>
          <w:p w:rsidR="002D0EB1" w:rsidRDefault="002D0EB1" w:rsidP="002570DC">
            <w:pPr>
              <w:jc w:val="center"/>
            </w:pPr>
            <w:r>
              <w:t>C-</w:t>
            </w:r>
          </w:p>
        </w:tc>
        <w:tc>
          <w:tcPr>
            <w:tcW w:w="742" w:type="dxa"/>
          </w:tcPr>
          <w:p w:rsidR="002D0EB1" w:rsidRDefault="002D0EB1" w:rsidP="002570DC">
            <w:pPr>
              <w:jc w:val="center"/>
            </w:pPr>
            <w:r>
              <w:t>D+</w:t>
            </w:r>
          </w:p>
        </w:tc>
        <w:tc>
          <w:tcPr>
            <w:tcW w:w="729" w:type="dxa"/>
          </w:tcPr>
          <w:p w:rsidR="002D0EB1" w:rsidRDefault="002D0EB1" w:rsidP="002570DC">
            <w:pPr>
              <w:jc w:val="center"/>
            </w:pPr>
            <w:r>
              <w:t>D</w:t>
            </w:r>
          </w:p>
        </w:tc>
        <w:tc>
          <w:tcPr>
            <w:tcW w:w="725" w:type="dxa"/>
          </w:tcPr>
          <w:p w:rsidR="002D0EB1" w:rsidRDefault="002D0EB1" w:rsidP="002570DC">
            <w:pPr>
              <w:jc w:val="center"/>
            </w:pPr>
            <w:r>
              <w:t>F</w:t>
            </w:r>
          </w:p>
        </w:tc>
      </w:tr>
      <w:tr w:rsidR="002D0EB1" w:rsidTr="002D0EB1">
        <w:tc>
          <w:tcPr>
            <w:tcW w:w="1075" w:type="dxa"/>
          </w:tcPr>
          <w:p w:rsidR="002D0EB1" w:rsidRDefault="002D0EB1" w:rsidP="002570DC">
            <w:pPr>
              <w:jc w:val="center"/>
            </w:pPr>
            <w:r>
              <w:t>Percentage</w:t>
            </w:r>
          </w:p>
        </w:tc>
        <w:tc>
          <w:tcPr>
            <w:tcW w:w="904" w:type="dxa"/>
          </w:tcPr>
          <w:p w:rsidR="002D0EB1" w:rsidRDefault="002D0EB1" w:rsidP="002570DC">
            <w:pPr>
              <w:jc w:val="center"/>
            </w:pPr>
            <w:r>
              <w:t>90 - 100</w:t>
            </w:r>
          </w:p>
        </w:tc>
        <w:tc>
          <w:tcPr>
            <w:tcW w:w="740" w:type="dxa"/>
          </w:tcPr>
          <w:p w:rsidR="002D0EB1" w:rsidRDefault="002D0EB1" w:rsidP="002570DC">
            <w:pPr>
              <w:jc w:val="center"/>
            </w:pPr>
            <w:r>
              <w:t>85 - 89</w:t>
            </w:r>
          </w:p>
        </w:tc>
        <w:tc>
          <w:tcPr>
            <w:tcW w:w="740" w:type="dxa"/>
          </w:tcPr>
          <w:p w:rsidR="002D0EB1" w:rsidRDefault="002D0EB1" w:rsidP="002570DC">
            <w:pPr>
              <w:jc w:val="center"/>
            </w:pPr>
            <w:r>
              <w:t>80 -</w:t>
            </w:r>
          </w:p>
          <w:p w:rsidR="002D0EB1" w:rsidRDefault="002D0EB1" w:rsidP="002570DC">
            <w:pPr>
              <w:jc w:val="center"/>
            </w:pPr>
            <w:r>
              <w:t>84</w:t>
            </w:r>
          </w:p>
        </w:tc>
        <w:tc>
          <w:tcPr>
            <w:tcW w:w="740" w:type="dxa"/>
          </w:tcPr>
          <w:p w:rsidR="002D0EB1" w:rsidRDefault="002D0EB1" w:rsidP="002570DC">
            <w:pPr>
              <w:jc w:val="center"/>
            </w:pPr>
            <w:r>
              <w:t>75 -</w:t>
            </w:r>
          </w:p>
          <w:p w:rsidR="002D0EB1" w:rsidRDefault="002D0EB1" w:rsidP="002570DC">
            <w:pPr>
              <w:jc w:val="center"/>
            </w:pPr>
            <w:r>
              <w:t>79</w:t>
            </w:r>
          </w:p>
        </w:tc>
        <w:tc>
          <w:tcPr>
            <w:tcW w:w="740" w:type="dxa"/>
          </w:tcPr>
          <w:p w:rsidR="002D0EB1" w:rsidRDefault="002D0EB1" w:rsidP="002570DC">
            <w:pPr>
              <w:jc w:val="center"/>
            </w:pPr>
            <w:r>
              <w:t>70 -</w:t>
            </w:r>
          </w:p>
          <w:p w:rsidR="002D0EB1" w:rsidRDefault="002D0EB1" w:rsidP="002570DC">
            <w:pPr>
              <w:jc w:val="center"/>
            </w:pPr>
            <w:r>
              <w:t>75</w:t>
            </w:r>
          </w:p>
        </w:tc>
        <w:tc>
          <w:tcPr>
            <w:tcW w:w="740" w:type="dxa"/>
          </w:tcPr>
          <w:p w:rsidR="002D0EB1" w:rsidRDefault="002D0EB1" w:rsidP="002570DC">
            <w:pPr>
              <w:jc w:val="center"/>
            </w:pPr>
            <w:r>
              <w:t>65 -</w:t>
            </w:r>
          </w:p>
          <w:p w:rsidR="002D0EB1" w:rsidRDefault="002D0EB1" w:rsidP="002570DC">
            <w:pPr>
              <w:jc w:val="center"/>
            </w:pPr>
            <w:r>
              <w:t>69</w:t>
            </w:r>
          </w:p>
        </w:tc>
        <w:tc>
          <w:tcPr>
            <w:tcW w:w="740" w:type="dxa"/>
          </w:tcPr>
          <w:p w:rsidR="002D0EB1" w:rsidRDefault="002D0EB1" w:rsidP="002570DC">
            <w:pPr>
              <w:jc w:val="center"/>
            </w:pPr>
            <w:r>
              <w:t>60 -</w:t>
            </w:r>
          </w:p>
          <w:p w:rsidR="002D0EB1" w:rsidRDefault="002D0EB1" w:rsidP="002570DC">
            <w:pPr>
              <w:jc w:val="center"/>
            </w:pPr>
            <w:r>
              <w:t>64</w:t>
            </w:r>
          </w:p>
          <w:p w:rsidR="002D0EB1" w:rsidRDefault="002D0EB1" w:rsidP="002570DC">
            <w:pPr>
              <w:jc w:val="center"/>
            </w:pPr>
          </w:p>
        </w:tc>
        <w:tc>
          <w:tcPr>
            <w:tcW w:w="735" w:type="dxa"/>
          </w:tcPr>
          <w:p w:rsidR="002D0EB1" w:rsidRDefault="002D0EB1" w:rsidP="002570DC">
            <w:pPr>
              <w:jc w:val="center"/>
            </w:pPr>
            <w:r>
              <w:t>55 -59</w:t>
            </w:r>
          </w:p>
        </w:tc>
        <w:tc>
          <w:tcPr>
            <w:tcW w:w="742" w:type="dxa"/>
          </w:tcPr>
          <w:p w:rsidR="002D0EB1" w:rsidRDefault="002570DC" w:rsidP="002570DC">
            <w:pPr>
              <w:jc w:val="center"/>
            </w:pPr>
            <w:r>
              <w:t>50 –</w:t>
            </w:r>
          </w:p>
          <w:p w:rsidR="002570DC" w:rsidRDefault="002570DC" w:rsidP="002570DC">
            <w:pPr>
              <w:jc w:val="center"/>
            </w:pPr>
            <w:r>
              <w:t>54</w:t>
            </w:r>
          </w:p>
        </w:tc>
        <w:tc>
          <w:tcPr>
            <w:tcW w:w="729" w:type="dxa"/>
          </w:tcPr>
          <w:p w:rsidR="002D0EB1" w:rsidRDefault="002570DC" w:rsidP="002570DC">
            <w:pPr>
              <w:jc w:val="center"/>
            </w:pPr>
            <w:r>
              <w:t>45 –</w:t>
            </w:r>
          </w:p>
          <w:p w:rsidR="002570DC" w:rsidRDefault="002570DC" w:rsidP="002570DC">
            <w:pPr>
              <w:jc w:val="center"/>
            </w:pPr>
            <w:r>
              <w:t>49</w:t>
            </w:r>
          </w:p>
        </w:tc>
        <w:tc>
          <w:tcPr>
            <w:tcW w:w="725" w:type="dxa"/>
          </w:tcPr>
          <w:p w:rsidR="002D0EB1" w:rsidRDefault="002570DC" w:rsidP="002570DC">
            <w:pPr>
              <w:jc w:val="center"/>
            </w:pPr>
            <w:r>
              <w:t>Below 45</w:t>
            </w:r>
          </w:p>
        </w:tc>
      </w:tr>
    </w:tbl>
    <w:p w:rsidR="002D0EB1" w:rsidRDefault="002D0EB1"/>
    <w:p w:rsidR="002570DC" w:rsidRDefault="002570DC">
      <w:r>
        <w:t xml:space="preserve">The grades will be </w:t>
      </w:r>
      <w:r w:rsidRPr="002570DC">
        <w:rPr>
          <w:i/>
        </w:rPr>
        <w:t>normalized</w:t>
      </w:r>
      <w:r>
        <w:rPr>
          <w:i/>
        </w:rPr>
        <w:t xml:space="preserve"> </w:t>
      </w:r>
      <w:r w:rsidRPr="002570DC">
        <w:t>between recitation secti</w:t>
      </w:r>
      <w:r>
        <w:t>o</w:t>
      </w:r>
      <w:r w:rsidRPr="002570DC">
        <w:t>n</w:t>
      </w:r>
      <w:r>
        <w:t xml:space="preserve">s.  Normalization is not curving since the grades will be brought to the same mean as one another without an overall shift upward or downward. </w:t>
      </w:r>
    </w:p>
    <w:p w:rsidR="002570DC" w:rsidRPr="002570DC" w:rsidRDefault="002570DC"/>
    <w:p w:rsidR="002570DC" w:rsidRDefault="002570DC">
      <w:pPr>
        <w:rPr>
          <w:rFonts w:ascii="Cambria" w:hAnsi="Cambria"/>
          <w:b/>
          <w:sz w:val="28"/>
          <w:szCs w:val="28"/>
        </w:rPr>
      </w:pPr>
      <w:r w:rsidRPr="002570DC">
        <w:rPr>
          <w:rFonts w:ascii="Cambria" w:hAnsi="Cambria"/>
          <w:b/>
          <w:sz w:val="28"/>
          <w:szCs w:val="28"/>
        </w:rPr>
        <w:t>Homework</w:t>
      </w:r>
    </w:p>
    <w:p w:rsidR="002570DC" w:rsidRDefault="002570DC">
      <w:pPr>
        <w:rPr>
          <w:rFonts w:ascii="Cambria" w:hAnsi="Cambria"/>
        </w:rPr>
      </w:pPr>
      <w:r>
        <w:rPr>
          <w:rFonts w:ascii="Cambria" w:hAnsi="Cambria"/>
        </w:rPr>
        <w:t xml:space="preserve">The homework is electronic using the WebAssign system.  Students should not log into the system directly from a web browser, but instead use the Blackboard link for their recitation </w:t>
      </w:r>
      <w:r w:rsidR="003B74EC">
        <w:rPr>
          <w:rFonts w:ascii="Cambria" w:hAnsi="Cambria"/>
        </w:rPr>
        <w:t>class. Further details on signing</w:t>
      </w:r>
      <w:r>
        <w:rPr>
          <w:rFonts w:ascii="Cambria" w:hAnsi="Cambria"/>
        </w:rPr>
        <w:t xml:space="preserve"> into WebAssign will be given in the first lecture. </w:t>
      </w:r>
    </w:p>
    <w:p w:rsidR="002570DC" w:rsidRDefault="002570DC">
      <w:pPr>
        <w:rPr>
          <w:rFonts w:ascii="Cambria" w:hAnsi="Cambria"/>
        </w:rPr>
      </w:pPr>
    </w:p>
    <w:p w:rsidR="002570DC" w:rsidRDefault="002570DC">
      <w:pPr>
        <w:rPr>
          <w:rFonts w:ascii="Cambria" w:hAnsi="Cambria"/>
          <w:b/>
          <w:sz w:val="28"/>
          <w:szCs w:val="28"/>
        </w:rPr>
      </w:pPr>
      <w:r w:rsidRPr="002570DC">
        <w:rPr>
          <w:rFonts w:ascii="Cambria" w:hAnsi="Cambria"/>
          <w:b/>
          <w:sz w:val="28"/>
          <w:szCs w:val="28"/>
        </w:rPr>
        <w:t>Getting Help</w:t>
      </w:r>
    </w:p>
    <w:p w:rsidR="002570DC" w:rsidRDefault="002570DC">
      <w:pPr>
        <w:rPr>
          <w:rFonts w:ascii="Cambria" w:hAnsi="Cambria"/>
          <w:b/>
          <w:sz w:val="28"/>
          <w:szCs w:val="28"/>
        </w:rPr>
      </w:pPr>
    </w:p>
    <w:p w:rsidR="002570DC" w:rsidRDefault="002570DC">
      <w:pPr>
        <w:rPr>
          <w:rFonts w:ascii="Cambria" w:hAnsi="Cambria"/>
          <w:b/>
          <w:sz w:val="28"/>
          <w:szCs w:val="28"/>
        </w:rPr>
      </w:pPr>
      <w:r>
        <w:rPr>
          <w:rFonts w:ascii="Cambria" w:hAnsi="Cambria"/>
          <w:b/>
          <w:sz w:val="28"/>
          <w:szCs w:val="28"/>
        </w:rPr>
        <w:t xml:space="preserve">Office Hours  </w:t>
      </w:r>
    </w:p>
    <w:p w:rsidR="002570DC" w:rsidRPr="002570DC" w:rsidRDefault="002570DC">
      <w:pPr>
        <w:rPr>
          <w:rFonts w:ascii="Cambria" w:hAnsi="Cambria"/>
        </w:rPr>
      </w:pPr>
      <w:r w:rsidRPr="002570DC">
        <w:rPr>
          <w:rFonts w:ascii="Cambria" w:hAnsi="Cambria"/>
        </w:rPr>
        <w:t xml:space="preserve">PHY 131 and PHY 132 are indeed </w:t>
      </w:r>
      <w:r>
        <w:rPr>
          <w:rFonts w:ascii="Cambria" w:hAnsi="Cambria"/>
        </w:rPr>
        <w:t>difficult courses and most students require help from time to time. The best course of help is to go to the office hours of anyone in the course staff. Everyone in the course (Lecturers, Recitation Instructors and Lab Instructors) hold regular office hours.  You can and should go to these office hours when you need help.</w:t>
      </w:r>
    </w:p>
    <w:p w:rsidR="002570DC" w:rsidRDefault="002570DC">
      <w:pPr>
        <w:rPr>
          <w:rFonts w:ascii="Cambria" w:hAnsi="Cambria"/>
          <w:b/>
          <w:sz w:val="28"/>
          <w:szCs w:val="28"/>
        </w:rPr>
      </w:pPr>
    </w:p>
    <w:p w:rsidR="002570DC" w:rsidRDefault="002570DC">
      <w:pPr>
        <w:rPr>
          <w:rFonts w:ascii="Cambria" w:hAnsi="Cambria"/>
          <w:b/>
          <w:sz w:val="28"/>
          <w:szCs w:val="28"/>
        </w:rPr>
      </w:pPr>
      <w:r>
        <w:rPr>
          <w:rFonts w:ascii="Cambria" w:hAnsi="Cambria"/>
          <w:b/>
          <w:sz w:val="28"/>
          <w:szCs w:val="28"/>
        </w:rPr>
        <w:t>Help Room</w:t>
      </w:r>
    </w:p>
    <w:p w:rsidR="002570DC" w:rsidRPr="002570DC" w:rsidRDefault="002570DC">
      <w:pPr>
        <w:rPr>
          <w:rFonts w:ascii="Cambria" w:hAnsi="Cambria"/>
        </w:rPr>
      </w:pPr>
      <w:r w:rsidRPr="002570DC">
        <w:rPr>
          <w:rFonts w:ascii="Cambria" w:hAnsi="Cambria"/>
        </w:rPr>
        <w:t xml:space="preserve">All course members will sit shifts in room A-129 </w:t>
      </w:r>
      <w:r w:rsidR="00BA286C">
        <w:rPr>
          <w:rFonts w:ascii="Cambria" w:hAnsi="Cambria"/>
        </w:rPr>
        <w:t>in the physics building.  A-129 is the room where you hand in lab reports and it is also known as the Help Room.</w:t>
      </w:r>
    </w:p>
    <w:p w:rsidR="002570DC" w:rsidRDefault="002570DC">
      <w:pPr>
        <w:rPr>
          <w:rFonts w:ascii="Cambria" w:hAnsi="Cambria"/>
          <w:b/>
          <w:sz w:val="28"/>
          <w:szCs w:val="28"/>
        </w:rPr>
      </w:pPr>
    </w:p>
    <w:p w:rsidR="002570DC" w:rsidRDefault="002570DC">
      <w:pPr>
        <w:rPr>
          <w:rFonts w:ascii="Cambria" w:hAnsi="Cambria"/>
          <w:b/>
          <w:sz w:val="28"/>
          <w:szCs w:val="28"/>
        </w:rPr>
      </w:pPr>
      <w:r>
        <w:rPr>
          <w:rFonts w:ascii="Cambria" w:hAnsi="Cambria"/>
          <w:b/>
          <w:sz w:val="28"/>
          <w:szCs w:val="28"/>
        </w:rPr>
        <w:t>Review Videos</w:t>
      </w:r>
    </w:p>
    <w:p w:rsidR="00BA286C" w:rsidRDefault="00BA286C">
      <w:pPr>
        <w:rPr>
          <w:rFonts w:ascii="Cambria" w:hAnsi="Cambria"/>
        </w:rPr>
      </w:pPr>
      <w:r>
        <w:rPr>
          <w:rFonts w:ascii="Cambria" w:hAnsi="Cambria"/>
        </w:rPr>
        <w:t xml:space="preserve">Review videos are available posted on the course web page. Up to 3% extra credits is available for viewing them all. They are divided into headings by “learning objective” and are not a perfect match to the book (they are better).  The videos associated with midterm #1 material must be completed prior to midterm#1 (1% extra credit).  The videos associated with midterm#2 material must be </w:t>
      </w:r>
      <w:r>
        <w:rPr>
          <w:rFonts w:ascii="Cambria" w:hAnsi="Cambria"/>
        </w:rPr>
        <w:lastRenderedPageBreak/>
        <w:t>completed prior to midterm #2 (1% extra credit). The videos associated with the final exam must be completed prior to the final exam (1% extra credit).</w:t>
      </w:r>
    </w:p>
    <w:p w:rsidR="00BA286C" w:rsidRDefault="00BA286C">
      <w:pPr>
        <w:rPr>
          <w:rFonts w:ascii="Cambria" w:hAnsi="Cambria"/>
        </w:rPr>
      </w:pPr>
    </w:p>
    <w:p w:rsidR="00BA286C" w:rsidRDefault="00BA286C">
      <w:pPr>
        <w:rPr>
          <w:rFonts w:ascii="Cambria" w:hAnsi="Cambria"/>
          <w:b/>
          <w:sz w:val="28"/>
          <w:szCs w:val="28"/>
        </w:rPr>
      </w:pPr>
      <w:r w:rsidRPr="00BA286C">
        <w:rPr>
          <w:rFonts w:ascii="Cambria" w:hAnsi="Cambria"/>
          <w:b/>
          <w:sz w:val="28"/>
          <w:szCs w:val="28"/>
        </w:rPr>
        <w:t>Review Sessions</w:t>
      </w:r>
    </w:p>
    <w:p w:rsidR="00BA286C" w:rsidRDefault="00BA286C">
      <w:pPr>
        <w:rPr>
          <w:rFonts w:ascii="Cambria" w:hAnsi="Cambria"/>
        </w:rPr>
      </w:pPr>
      <w:r>
        <w:rPr>
          <w:rFonts w:ascii="Cambria" w:hAnsi="Cambria"/>
        </w:rPr>
        <w:t xml:space="preserve">Professor </w:t>
      </w:r>
      <w:proofErr w:type="spellStart"/>
      <w:r>
        <w:rPr>
          <w:rFonts w:ascii="Cambria" w:hAnsi="Cambria"/>
        </w:rPr>
        <w:t>Hemmick</w:t>
      </w:r>
      <w:proofErr w:type="spellEnd"/>
      <w:r>
        <w:rPr>
          <w:rFonts w:ascii="Cambria" w:hAnsi="Cambria"/>
        </w:rPr>
        <w:t xml:space="preserve"> has developed a tradition of</w:t>
      </w:r>
      <w:r w:rsidR="00F4455F">
        <w:rPr>
          <w:rFonts w:ascii="Cambria" w:hAnsi="Cambria"/>
        </w:rPr>
        <w:t xml:space="preserve"> </w:t>
      </w:r>
      <w:r>
        <w:rPr>
          <w:rFonts w:ascii="Cambria" w:hAnsi="Cambria"/>
        </w:rPr>
        <w:t xml:space="preserve">holding extensive review sessions outside of class. These are typically held in the evenings or weekend before the exam.  Typically one 8-hour review is held </w:t>
      </w:r>
      <w:r w:rsidR="00F4455F">
        <w:rPr>
          <w:rFonts w:ascii="Cambria" w:hAnsi="Cambria"/>
        </w:rPr>
        <w:t xml:space="preserve">prior to each midterm and prior to the final. During these reviews, we do physics problems from practice exams (mostly the same material as the review videos) and we make them up on the spot and upon request from any source. The idea is that by the time the review is finished, everyone present should be so thoroughly familiar with the material that the exam will have become easy. </w:t>
      </w:r>
    </w:p>
    <w:p w:rsidR="00F4455F" w:rsidRDefault="00F4455F">
      <w:pPr>
        <w:rPr>
          <w:rFonts w:ascii="Cambria" w:hAnsi="Cambria"/>
        </w:rPr>
      </w:pPr>
    </w:p>
    <w:p w:rsidR="00F4455F" w:rsidRDefault="00F4455F">
      <w:pPr>
        <w:rPr>
          <w:rFonts w:ascii="Cambria" w:hAnsi="Cambria"/>
        </w:rPr>
      </w:pPr>
      <w:r>
        <w:rPr>
          <w:rFonts w:ascii="Cambria" w:hAnsi="Cambria"/>
        </w:rPr>
        <w:t xml:space="preserve">The philosophy is simple. The exams in this course are tough but fair. We will work as hard as necessary so that by the time you take them they will seem easy.  High scores on a tough exam is the explicitly stated goal of the instructor and should be the same goal for all students. Scheduling of these reviews will be done in lecture. </w:t>
      </w:r>
    </w:p>
    <w:p w:rsidR="00F4455F" w:rsidRPr="00BA286C" w:rsidRDefault="00F4455F">
      <w:pPr>
        <w:rPr>
          <w:rFonts w:ascii="Cambria" w:hAnsi="Cambria"/>
        </w:rPr>
      </w:pPr>
    </w:p>
    <w:p w:rsidR="00BA286C" w:rsidRDefault="00BA286C">
      <w:pPr>
        <w:rPr>
          <w:rFonts w:ascii="Cambria" w:hAnsi="Cambria"/>
          <w:b/>
          <w:sz w:val="28"/>
          <w:szCs w:val="28"/>
        </w:rPr>
      </w:pPr>
      <w:r w:rsidRPr="00BA286C">
        <w:rPr>
          <w:rFonts w:ascii="Cambria" w:hAnsi="Cambria"/>
          <w:b/>
          <w:sz w:val="28"/>
          <w:szCs w:val="28"/>
        </w:rPr>
        <w:t>Exams</w:t>
      </w:r>
    </w:p>
    <w:p w:rsidR="00BA286C" w:rsidRDefault="00F4455F">
      <w:pPr>
        <w:rPr>
          <w:rFonts w:ascii="Cambria" w:hAnsi="Cambria"/>
        </w:rPr>
      </w:pPr>
      <w:r>
        <w:rPr>
          <w:rFonts w:ascii="Cambria" w:hAnsi="Cambria"/>
        </w:rPr>
        <w:t xml:space="preserve">Large Classes hold evening exams scheduled by the University, NOT the instructor.  Here is a link to the schedule of these so-called “common exams”: </w:t>
      </w:r>
    </w:p>
    <w:p w:rsidR="00F4455F" w:rsidRDefault="00F4455F">
      <w:pPr>
        <w:rPr>
          <w:rFonts w:ascii="Cambria" w:hAnsi="Cambria"/>
        </w:rPr>
      </w:pPr>
    </w:p>
    <w:p w:rsidR="00F4455F" w:rsidRDefault="00F4455F">
      <w:pPr>
        <w:rPr>
          <w:rFonts w:ascii="Cambria" w:hAnsi="Cambria"/>
        </w:rPr>
      </w:pPr>
      <w:r w:rsidRPr="00F4455F">
        <w:rPr>
          <w:rFonts w:ascii="Cambria" w:hAnsi="Cambria"/>
        </w:rPr>
        <w:t>http://www.stonybrook.edu/commcms/registrar/registration/exams.php</w:t>
      </w:r>
    </w:p>
    <w:p w:rsidR="00F4455F" w:rsidRDefault="00F4455F">
      <w:pPr>
        <w:rPr>
          <w:rFonts w:ascii="Cambria" w:hAnsi="Cambria"/>
        </w:rPr>
      </w:pPr>
    </w:p>
    <w:p w:rsidR="00F4455F" w:rsidRDefault="00F4455F">
      <w:pPr>
        <w:rPr>
          <w:rFonts w:ascii="Cambria" w:hAnsi="Cambria"/>
        </w:rPr>
      </w:pPr>
    </w:p>
    <w:p w:rsidR="00BA286C" w:rsidRDefault="00BA286C">
      <w:pPr>
        <w:rPr>
          <w:rFonts w:ascii="Cambria" w:hAnsi="Cambria"/>
          <w:b/>
          <w:sz w:val="28"/>
          <w:szCs w:val="28"/>
        </w:rPr>
      </w:pPr>
      <w:r w:rsidRPr="00BA286C">
        <w:rPr>
          <w:rFonts w:ascii="Cambria" w:hAnsi="Cambria"/>
          <w:b/>
          <w:sz w:val="28"/>
          <w:szCs w:val="28"/>
        </w:rPr>
        <w:t>Schedule of Lecture</w:t>
      </w:r>
    </w:p>
    <w:p w:rsidR="00BA286C" w:rsidRPr="00BA286C" w:rsidRDefault="00214DEA">
      <w:pPr>
        <w:rPr>
          <w:rFonts w:ascii="Cambria" w:hAnsi="Cambria"/>
        </w:rPr>
      </w:pPr>
      <w:r>
        <w:rPr>
          <w:rFonts w:ascii="Cambria" w:hAnsi="Cambria"/>
        </w:rPr>
        <w:t xml:space="preserve">The Class Calendar (access through Blackboard) will show a rough outline of which topics will be covered at what time. This schedule shows which chapters/sections of the books should be read to prepare for lecture. The actual schedule may vary somewhat.  </w:t>
      </w:r>
    </w:p>
    <w:p w:rsidR="00BA286C" w:rsidRPr="00BA286C" w:rsidRDefault="00BA286C">
      <w:pPr>
        <w:rPr>
          <w:rFonts w:ascii="Cambria" w:hAnsi="Cambria"/>
          <w:b/>
          <w:sz w:val="28"/>
          <w:szCs w:val="28"/>
        </w:rPr>
      </w:pPr>
    </w:p>
    <w:sectPr w:rsidR="00BA286C" w:rsidRPr="00BA28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2A9"/>
    <w:rsid w:val="00213E99"/>
    <w:rsid w:val="00214DEA"/>
    <w:rsid w:val="0021772A"/>
    <w:rsid w:val="002570DC"/>
    <w:rsid w:val="002D0EB1"/>
    <w:rsid w:val="00352791"/>
    <w:rsid w:val="003732A9"/>
    <w:rsid w:val="003B74EC"/>
    <w:rsid w:val="006C1341"/>
    <w:rsid w:val="0076303A"/>
    <w:rsid w:val="008932C9"/>
    <w:rsid w:val="00975BC0"/>
    <w:rsid w:val="00A1651B"/>
    <w:rsid w:val="00BA286C"/>
    <w:rsid w:val="00DE195F"/>
    <w:rsid w:val="00F44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5A2E5A-4450-4BDF-83A9-1E74F0712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32A9"/>
    <w:pPr>
      <w:autoSpaceDE w:val="0"/>
      <w:autoSpaceDN w:val="0"/>
      <w:adjustRightInd w:val="0"/>
    </w:pPr>
    <w:rPr>
      <w:rFonts w:ascii="Calibri" w:hAnsi="Calibri" w:cs="Calibri"/>
      <w:color w:val="000000"/>
      <w:sz w:val="24"/>
      <w:szCs w:val="24"/>
    </w:rPr>
  </w:style>
  <w:style w:type="table" w:styleId="TableGrid">
    <w:name w:val="Table Grid"/>
    <w:basedOn w:val="TableNormal"/>
    <w:uiPriority w:val="39"/>
    <w:rsid w:val="002D0EB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65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5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0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Diaferia</dc:creator>
  <cp:keywords/>
  <dc:description/>
  <cp:lastModifiedBy>Diane Diaferia</cp:lastModifiedBy>
  <cp:revision>2</cp:revision>
  <cp:lastPrinted>2018-05-02T18:17:00Z</cp:lastPrinted>
  <dcterms:created xsi:type="dcterms:W3CDTF">2018-05-04T16:06:00Z</dcterms:created>
  <dcterms:modified xsi:type="dcterms:W3CDTF">2018-05-04T16:06:00Z</dcterms:modified>
</cp:coreProperties>
</file>